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28.03.2022, оставленным без изменения постановлением Второго арбитражного апелляционного суда от 23.06.2022 и постановлением Арбитражного суда Волго-Вятского округа от 29.09.2022, в удовлетворении заявления Соколова Н.М. об исправлении описки, допущенной в определении Арбитражного суда Костромской области от 16.03.2022,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Изменение существа мотивировочной части определения, требуемое Соколовым Н.М., не укладывается в пределы статьи 179 Арбитражного процессуального кодекса Российской Федерации, поэтому в ее применении к заявленным обстоятельствам правомерно отказано.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