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28.03.2022, оставленным без изменения постановлением Второго арбитражного апелляционного суда от 22.06.2022 и постановлением Арбитражного суда Волго-Вятского округа от 29.09.2022, в удовлетворении заявления Соколова Н.М. об исправлении описки, допущенной в определении Арбитражного суда Костромской области от 16.03.2022,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Изменение существа мотивировочной части определения, требуемое Соколовым Н.М., не укладывается в пределы статьи 179 Арбитражного процессуального кодекса Российской Федерации, поэтому в ее применении к заявленным обстоятельствам правомерно отказано.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