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29.06.2022, оставленным без изменения постановлением Арбитражного суда Волго-Вятского округа от 22.09.2022,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постановления, поименованные в части 1 статьи 178 Арбитражного процессуального кодекса Российской Федерации, отсутствуют,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