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29.06.2022, оставленным без изменения постановлением Арбитражного суда Волго-Вятского округа от 26.09.2022,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постановления, поименованные в части 1 статьи 178 Арбитражного процессуального кодекса Российской Федерации, отсутствуют,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