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16.06.2022, оставленным без изменения постановлением Арбитражного суда Волго- Вятского округа от 28.09.2022,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постановления, поименованные в части 1 статьи 178 Арбитражного процессуального кодекса Российской Федерации, отсутствуют,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