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16.06.2022, оставленным без изменения постановлением Арбитражного суда Волго- Вятского округа от 29.09.2022,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Случаи для принятия дополнительного постановления, поименованные в части 1 статьи 178 Арбитражного процессуального кодекса Российской Федерации, отсутствуют,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