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Салтыкова В.В. в Арбитражный суд города Москвы обратилось ООО КБ «АкадемРусБанк» в лице ГК «АСВ» с заявлением о включении задолженности в реестр требований кредиторов должника. Определением Арбитражного суда города Москвы от 02.06.2022, оставленным без изменения постановлением Девятого арбитражного апелляционного суда от 25.07.2022 и постановлением Арбитражного суда Московского округа от 31.10.2022, производство по заявлению банка приостановлено до разрешения вопроса о привлечении должника к субсидиарной ответственности. Сливаев Д.И.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 рамках дела № А40-20240/2015 рассматривается заявление о привлечении должника к субсидиарной ответственности, суды пришли к выводу о приостановлении производства по заявлению банка о включении в реестр требований кредиторов должника для определения размера обязательств должника перед банком.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