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2 Из содержания судебных актов следует, что суды всесторонне исследовали доказательства по делу, установили необходимые для разрешения спора обстоятельства, дали надлежащую правовую оценку доводам заявителя.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«Оксиген»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