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22.04.2022. Определением Арбитражного суда Костромской области от 20.05.2022, оставленным без изменения постановлением Второго арбитражного апелляционного суда от 13.07.2022 и постановлением Арбитражного суда Волго-Вятского округа от 04.10.2022,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