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привлечении бывшего руководителя должника Перервы Юрия Ивановича к субсидиарной ответственности по обязательствам должника в размере 95 163 514 рублей 84 копеек, взыскании с Перервы Ю.И. в пользу должника убытков в размере 6 381 901 рубля 37 копеек. Определением Арбитражного суда Приморского края от 11.04.2022, оставленным без изменения постановлениями Пятого арбитражного апелляционного суда от 11.07.2022 и Арбитражного суда Дальневосточного округа от 26.09.2022, в удовлетворении заявленных требований отказано.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удовлетворении заявленных требований.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статьёй 69 Арбитражного процессуального кодекса Российской Федерации, статьями 15, 1064 Гражданского кодекса Российской Федерации, статьями 61.11, 61.20 Федерального закона от 26.10.2002 № 127-ФЗ «О несостоятельности (банкротстве)», основываясь на установленных в настоящем деле о банкротстве фактических обстоятельствах исходили из отсутствия условий, необходимых для привлечения Перервы Ю.И. к субсидиарной ответственности по обязательствам должника, а также взыскания с него убытков.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судами не допущено.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управляющего обществом с ограниченной ответственностью «МВ-Лайн» Шкрылю Игорю Ивановичу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