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24.03.2022, оставленным без изменения постановлением Четвертого арбитражного апелляционного суда от 16.06.2022 и постановлением Арбитражного суда Восточно-Сибирского округа от 19.08.2022, в удовлетворении заявления отказано. В кассационной жалобе Маркова И.Л. просит о пересмотре судебных актов, ссылаясь на неправильную оценку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правильно оценили отсутствие влияния приведенных обстоятельств на существо определения от 13.12.2019, необходимого в силу пункта 2 части 3 статьи 311 Арбитражного процессуального кодекса Российской Федерации для пересмотра этого судебного акта по новым обстоятельствам. Иная позиция должника не создает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Марковой Ирине Леонидовне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