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31.08.2022, оставленным без изменения постановлением Семнадцатого арбитражного апелляционного суда от 07.10.2022, в удовлетворении заявления отказано. В кассационной жалобе общество «Проф»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полное погашение должником требования уполномоченного органа на момент рассмотрения заявления, суды признали отсутствие оснований для удовлетворения заявления общества.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по Верх-Исетскому району г. Екатеринбурга (подробнее) ОАО "Екатеринбургский муниципальный банк" (подробнее) ООО "Проф" (подробнее) ООО "Ремстрой" (подробнее)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№26 (подробнее) Иные лица: АССОЦИАЦИЯ "НАЦИОНАЛЬНАЯ ОРГАНИЗАЦИЯ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