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11.02.2022, оставленным без изменения постановлением Второго арбитражного апелляционного суда от 18.05.2022 и постановлением Арбитражного суда Волго-Вятского округа от 20.09.2022,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