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05.12.2022 направила в Верховный Суд Российской Федерации кассационную жалобу на указанные судебные акты и одновременно заявила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не признает их уважительными, поскольку заявитель документально не обосновала приведенные ею причины пропуска срока на обжалование судебного акта, который был своевременно размещен на сайте суда в информационно-телекоммуникационной сети Интернет и доступен для ознакомления. Заявитель являлась инициатором кассационного производства в суде округа, обладала информацией о состоявшемся судебном акте, и при проявлении достаточной степени заботливости и разумной осмотрительности имела значительный промежуток времени для подготовки и подачи соответствующей жалобы в предусмотренный законодательством срок.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Нарушение порядка подачи первоначальной кассационной жалобы и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МЕЖМУНИЦИПАЛЬНЫЙ ОТДЕЛ МИНИСТЕРСТВА ВНУТРЕННИХ ДЕЛ РОССИЙСКОЙ ФЕДЕРАЦИИ "КАМЫШИНСКИЙ" ВОЛГОГРАДСКОЙ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