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08.04.2022, оставленным без изменения постановлением Четырнадцатого арбитражного апелляционного суда от 11.07.2022 и постановлением Арбитражного суда Северо-Западного округа от 09.10.2022, в удовлетворении заявления отказано. В кассационной жалобе ФИО1 просит об отмене судебных актов, ссылаясь на игнорирование судами недобросовестного поведения сторон оспариваемой сделки и нарушение в применении норм материального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условий для недействительности перечисления денежных средств ни в силу законодательства о банкротстве, ни по общегражданским основаниям. Иная оценка обстоятельств совершения платежа не попадает под основания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ААУ СРО "Центральное агентство арбитражных управляющих" (подробнее) АО "Банк Русский Стандарт" (подробнее) Ассоциация арбитражных управляющих СРО "Центральное агентство арбитражных управляющих" (подробнее) ООО СК "Гелиос" (подробнее) ПАО "Сбербанк России" (подробнее) Управление ФССП по Вологодской области (подробнее) ФНС России Межрайонная Инспекция №11 по Вологодской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