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11.02.2022, оставленным без изменения постановлением Второго арбитражного апелляционного суда от 18.05.2022 и постановлением Арбитражного суда Волго-Вятского округа от 20.09.2022, в удовлетворении заявления Соколова Н.М. об исправлении описки, допущенной в определении Арбитражного суда Костромской области от 19.01.2022,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Изменение существа мотивировочной части определения, требуемое Соколовым Н.М., не укладывается в пределы статьи 179 Арбитражного процессуального кодекса Российской Федерации, поэтому в ее применении к заявленным обстоятельствам отказано.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