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Макрушина Николая Николаевича в Арбитражный суд Кемеровской области обратился финансовый управляющий с заявлением о признании недействительным договора купли- продажи 1/2 доли автомобиля от 02.03.2013, заключенного между должником и Макрушиной Н.Г., и применении последствий недействительности сделки в виде взыскания с Макрушиной Н.Г. в конкурсную массу должника 1 750 000 рублей. Определением Арбитражного суда Кемеровской области от 30.03.2022 договор купли-продажи автомобиля признан недействительным, в применении последствий недействительности сделки отказано. Постановлением Седьмого арбитражного апелляционного суда от 16.06.2022 определение суда первой инстанции оставлено без изменения. Арбитражный суд Западно-Сибирского округа постановлением от 07.10.2022 указанные судебные акты оставил без изменения. Макрушина Н.Г.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10, 167, 168 Гражданского кодекса Российской Федерации, статьей 19, пунктом 2 статьи 61.2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исходили из доказанности недобросовестного поведения сторон договора, являющихся заинтересованными лицами, совершения сделки со злоупотреблением правом, в целях безвозмездного вывода ликвидного имущества должника, в отсутствие какого-либо встречного предоставления.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Е.Н. Зарубина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