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24.05.2022 в состав третьей очереди реестра включено требование кредитора в размере 3 306 624 рублей 98 копеек основной задолженности и процентов и 2 457 000 рублей пеней, подлежащих учету отдельно. Пятнадцатый арбитражный апелляционный суд постановлением от 06.07.2022 отменил определение от 24.05.2022 в неудовлетворенной части требования и включил 3 144 364 рубля 63 копейки процентов за пользование займом и неустойки в третью очередь реестра как обеспеченные залогом имущества должника. Арбитражный суд Северо-Кавказского округа постановлением от 16.09.2022 постановление апелляционного суда от 06.07.2022 оставил без изменения. В кассационной жалобе Полина Л.А. просит об отмене судебных актов, ссылаясь на отсутствие судебного акта о процессуальном правопреемстве, истечение срока на предъявление требования об обращении взыскания на имущество.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 отсутствии у банка права на предъявление требования к должнику рассмотрен и отклонен на основании пункта 23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Взыскание на имущество обращено по решению суда общей юрисдикции, срок на принудительное исполнение которого проверен и признан не истекшим.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Полиной Любови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