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02.02.2022, оставленным без изменения постановлением Восемнадцатого арбитражного апелляционного суда от 13.04.2022 и постановлением Арбитражного суда Уральского округа от 15.08.2022, в удовлетворении заявления отказано. В кассационной жалобе Меркушин В.В. просит об отмене судебных актов, ссылаясь на несоответствие их постановлению Конституционного Суда Российской Федерации от 26.04.2021 № 15-П и судебной практике, доказанность целесообразности реализации квартиры по общим долгам должника и супруги.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Наличие основания для ограничения исполнительского иммунитета посредством предоставления должнику и членам его семьи замещающего жилья не установлено, учитывая погашение 73 процентов требований кредиторов и наличия иного имущества для удовлетворения оставшихся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Меркушину Вадиму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