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Токаева И.М. в Арбитражный суд Мурманской области обратился должник с заявлением об исключении из конкурсной массы нежилого помещения. Определением Арбитражного суда Мурманской области от 23.05.2022, оставленным без изменения постановлением Тринадцатого арбитражного апелляционного суда от 25.07.2022 и постановлением Арбитражного суда Северо-Западного округа от 27.10.2022, в удовлетворении заявления отказано. Должник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исходили из того, что нежилое помещение не относится к перечню имущества, на которое не может быть обращено взыскание по требованиям кредиторов в соответствии со статьей 446 Гражданского процессуального кодекса Российской Федерации, а также в соответствии с положениями Федерального закона от 02.10.2007 № 229-ФЗ «Об исполнительном производстве».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