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«Перспектива» (далее – общество) обратилось в суд с заявлением о включении в реестр требований кредиторов должника (далее – реестр) задолженности в размере 750 000 рублей. Определением Арбитражного суда Челябинской области от 15.02.2022, оставленным без изменения постановлениями Восемнадцатого арбитражного апелляционного суда от 19.04.2022 и Арбитражного суда Уральского округа от 18.07.2022,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71 , 100 , 134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наличие и размер задолженности подтверждены документально, в связи с чем удовлетворили заявление и включили требование общества в третью очередь реестра.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Инжиниринговая компания "Пионер" (подробнее) ООО "Перспектива" (подробнее) ООО "ТСК "Новый Век" (подробнее) Терновская (китапова) Юлия Домировна (подробнее) Ответчики: ООО "Капитал строй" (подробнее) Иные лица: АССОЦИАЦИЯ САМОРЕГУЛИРУЕМАЯ ОРГАНИЗАЦИЯ "ОБЪЕДИНЕНИЕ АРБИТРАЖНЫХ УПРАВЛЯЮЩИХ "ЛИДЕР" (подробнее) Инспекция Федеральной налоговой службы по Курчатовскому району г. Челябинска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