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Борисенко Владимир Владимирович обратился в суд с заявлением о разрешении разногласий, возникших с уполномоченным органом. Определением Арбитражного суда Челябинской области от 28.03.2022 отказано в разрешении разногласий. Постановлением Восемнадцатого арбитражного апелляционного суда от 08.06.2022, оставленным без изменения постановлением Арбитражного суда Уральского округа от 13.09.2022, отменено определение суда первой инстанции от 28.03.2022, установлено приоритетное погашение сумм налога на имущество и транспортного налога в отношении залогового имущества, начисленного в ходе процедуры банкротства должника, за счёт денежных средств, полученных от реализации предмета залога, до их распределения по правилам пункта 1 и 2 статьи 138 Федерального закона от 26.10.2002 №127-ФЗ «О несостоятельности (банкротстве)» (далее – Закон о банкротстве). В кассационной жалобе, поданной в Верховный Суд Российской Федерации, заявитель просит отменить указанные судебные акты и принять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положениями статей 134 и 138 Закона о банкротстве, исходил из того, что налоговая задолженность должника, начисление которой связано с продолжением эксплуатации залогового имущества и признанная текущей, подлежит погашению в режиме расходов на обеспечение сохранности предмета залога. Суд округа поддержал выводы апелляционного суда. Выводы судов апелляционной инстанции и округа соответствуют нормам права, оснований для переоценки выводов судов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Кроме того, в просительной части кассационной жалобы заявитель просит отменить определение от 28.03.2022.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ввиду отмены данного судебного акта вступившим в силу постановлением апелляционного суда от 08.06.2022.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корпорации развития «ВЭБ.РФ»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Восемнадцатого арбитражного апелляционного суда от 08.06.2022 и постановления Арбитражного суда Уральского округа от 13.09.2022 по делу № А76-24761/2016. Прекратить производство по кассационной жалобе государственной корпорации развития «ВЭБ.РФ» в части обжалования определения Арбитражного суда Челябинской области от 28.03.2022 по делу № А76-24761/2016.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