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 изготовлении указанного определения в мотивировочной части на второй странице в третьем абзаце допущена опечатка, а именно: после слов «принимая во внимание отсутствие доказательств ненадлежащего исполнения» вместо «компанией» ошибочно указано «обществом». Названная опечатка подлежит исправлению в соответствии с частью 3 статьи 179 Арбитражного процессуального кодекса Российской Федерации. Руководствуясь статьями 179,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«Орко-инвест» удовлетворить. Исправить опечатку, допущенную в определении судьи Верховного Суда Российской Федерации от 05.12.2022 № 307-ЭС22-22766. На второй странице в третьем абзаце определения после слов «принимая во внимание отсутствие доказательств ненадлежащего исполнения» вместо «обществом» следует читать «компанией». Судья Верховного Суда Российской Федерации Н.С. Чучунова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