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Возвращая кассационную жалобу заявителя, суд округа руководствовался статьями 46, 281 Арбитражного процессуального кодекса Российской Федерации, разъяснениями, приведенными в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2 и исходил из того, что кассационная жалоба подана на судебный акт, который не обжалуется в кассационном порядке. С указанными выводами согласился суд округа при рассмотрении жалобы заявителя, поданной в порядке статьи 291 Арбитражного процессуального кодекса Российской Федерации. Изложенные в кассационной жалобе доводы не подтверждают нарушений судом округа норм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Бабушкиной Виктории Сергеевны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