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22.03.2022, оставленным без изменения постановлением Десятого арбитражного апелляционного суда от 03.06.2022 и постановлением Арбитражного суда Московского округа от 05.09.2022, ФИО1 признана несостоятельной (банкротом), в отношении нее введена процедура реализации имущества, финансовым управляющим имуществом должника утвержден ФИО2 Должник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Принимая решение о признании должника банкротом и введении процедуры реализации имущества гражданина, суды руководствовались статьей 213.24 Федерального закона от 26.10.2002 № 127-ФЗ «О несостоятельности (банкротстве)» и исходили из наличия у должника признаков неплатежеспособности, недостаточности имущества должника для расчетов с кредиторами, невозможности восстановления платежеспособности, отсутствия утвержденного плана реструктуризации долгов гражданина, недостаточности среднего ежемесячного дохода для продления процедуры реструктуризации долгов.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"ЦЕНТР ДОЛГОВОГО УПРАВЛЕНИЯ" (подробнее) МИФНС №1 по МО (подробнее) ООО "Столичное агентство по возврату долгов" (подробнее) ООО "Феникс" (подробнее) ООО "ЦДУ Инвест" (подробнее) ПАО Банк ВТБ (подробнее) ПАО "МТС-Банк" (подробнее) ПАО "Сбербанк" (подробнее) ПАО "Совкомбанк"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