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гражданина Крашенинникова С.Н. Арбитражным судом Кемеровской области рассмотрен объединенный спор по заявлению Пирогова С.Н. о включении в третью очередь реестра требований кредиторов должника 5 691 291 рубля 75 копеек задолженности по шести договорам займа и заявление Крашенинниковой Т.П. о признании недействительными договоров займа. Определением Арбитражного суда Кемеровской области от 14.03.2022, оставленным без изменения постановлением Седьмого арбитражного апелляционного суда от 24.05.2022 и постановлением Арбитражного суда Западно-Сибирского округа от 31.08.2022, в удовлетворении заявления Пирогова С.Н отказано; признаны недействительными оспариваемые договоры займа. Пирогов С.Н.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Крашенинниковой Т.П. и отказывая в удовлетворении заявления Пирогова С.Н., суды руководствовались статьями 807, 808 Гражданского кодекса Российской Федерации, статьями 61.2,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отсутствия достаточных и достоверных доказательств реальности заемных правоотношений между должником и ответчиком, экономической целесообразности заключения спорных сделок и доказательств их исполнения сторонами, признав доказанным наличие в оспариваемых договорах займа всех необходимых элементов состава недействительной сделки, предусмотренной пунктом 2 статьи 61.2 Закона о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