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05.05.2022, оставленным без изменения постановлением Пятнадцатого арбитражного апелляционного суда от 12.07.2022 и постановлением Арбитражного суда Северо-Кавказского округа от 26.09.2022, первоначальные исковые требования удовлетворены, в удовлетворении встречного иска отказано. В кассационной жалобе, поданной в Верховный Суд Российской Федерации, Артюшкин Д.В. просит отменить указанные судебные акты как незаконные.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суды первой и апелляционной инстанций пришли к выводу о доказанности факта оказания Абросимовым С.Г. (исполнитель) услуг по спорному договору и их принятия Артюшкиным Д.В. (заказчик). Учитывая отсутствие доказательств оплаты оказанных услуг, не установив оснований для признания договора недействительным, руководствуясь статьями 160, 167, 182, 309, 310, 330, 779, 781 Гражданского кодекса Российской Федерации, суды удовлетворили первоначальные исковые требования и отказали в удовлетворении встречного иска. Суд округа поддержал выводы судов первой и апелляционной инстанций.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Артюшкина Дмитрия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