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Парфенов Олег Александрович обратился в суд с заявлением о признании недействительной сделки по перечислению Хартманн Наталье Николаевне денежных средств в качестве беспроцентного займа в размере 4 200 000 рублей и 500 000 рублей; применении последствий недействительности сделки. Определением Арбитражного суда города Москвы от 01.03.2022, оставленным без изменения постановлениями Девятого арбитражного апелляционного суда от 24.05.2022 и Арбитражного суда Московского округа от 16.08.2022,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пункта 2 статьи 61.2 Федерального закона от 26.10.2002 № 127-ФЗ «О несостоятельности (банкротстве)», пунктами 5 –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совокупности условий для признания недействительными оспариваемых подозрительных сделок, совершенных в период подозрительности в пользу заинтересованного лица (супруги бывшего руководителя и единственного участника) неплатёжеспособным должником с целью причинения вреда имущественным правам кредиторов, правомерно применив последствия их недействительности.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Хартманна Акселя Нильса Дронову Олегу Владимировичу в передаче его кассационной жалобе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