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включении в реестр требований кредиторов должника (далее – реестр) требования в размере 1 625 037 рублей 40 копеек. Определением Арбитражного суда Республики Татарстан от 31.01.2022, оставленным без изменения постановлениями Одиннадцатого арбитражного апелляционного суда от 14.04.2022 и Арбитражного суда Поволжского округа от 16.08.2022, требование в заявленном размере признано обоснованным и подлежащим удовлетворению в очерёдности, предшествующей распределению ликвидационной квоты. В кассационной жалобе, поданной в Верховный Суд Российской Федерации, заявитель просит отменить названные судебные акты в части определения очерёдности удовлетворения его требования и включить его в состав третьей очереди реестра.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статьями 19, 71, 100, 142, 148 Федерального закона от 26.10.2002 № 127-ФЗ «О несостоятельности (банкротстве)», Обзором судебной практики разрешения споров, связанных с установлением в процедурах банкротства требований контролирующих должника и аффилированных с ним лиц, утверждённым Президиумом Верховного Суда Российской Федерации 29.01.2020, исходили из того, что невостребование аффилированным обществом в разумный срок денежных средств с должника являлось формой компенсационного финансирования, предоставленного последнему в ситуации имущественного кризиса, в связи с чем понизили требование в очёредности удовлетворения. Выводы судов в обжалуемой заявителем части соответствуют нормам права, оснований для переоценки этих выводов не имеется. Несогласие заявителя с данными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«Стройстандарт»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