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Отказывая в удовлетворении заявленных требований, суд первой инстанции, исследовав и оценив представленные в материалы дела доказательства, руководствуясь положениями статей 31 , 93.1 , 129.1 Налогового кодекса Российской Федерации, пришел к выводу о наличии оснований для привлечения общества к налоговой ответственности, с чем согласились суды апелляционной инстанции и округа. Судебные инстанции исходили из доказанности налоговым органом обстоятельств того, что требования о представлении документов (информации) выставлены инспекцией вне рамок проведения налоговой проверки в связи с необходимостью получения сведений относительно сделок с контрагентами общества и осуществления налогового контроля, содержат все необходимые реквизиты документов и сроки их предоставления.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«Строительная Компания Всестройпроект»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"Строительная компания Всестройпроект" (подробнее) Ответчики: Инспекция Федеральной налоговой службы по г. Тюмени №3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