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от 1 марта 2022 года Арбитражный суд города Москвы удовлетворил заявление о процессуальном правопреемстве, заменил кредитора публичное акционерное общество «Промсвязьбанк» на его правопреемника общество с ограниченной ответственностью «Городская Механика», выделил в отдельное производство требования общества «Городская Механика» в части установления статуса залога, в удовлетворении ходатайств общества «БМ- Банк» и должника о назначении финансово-экономической экспертизы отказал, в удовлетворении ходатайства должника о привлечении в качестве третьих лиц, не заявляющих самостоятельных требований относительно предмета спора, Центрального Банка Российской Федерации и Росфинмониторинга отказал, в удовлетворении ходатайства общества с ограниченной ответственностью «ПКФ Сиблифт» о вступлении в дело в качестве третьего лица, не заявляющего самостоятельных требований относительно предмета спора, отказал, в удовлетворении ходатайств временного управляющего и общества «БМ-Банк» об истребовании доказательств отказал, в удовлетворении ходатайства должника об отложении судебного заседания 2 отказал, признал обоснованными и подлежащими включению в третью очередь реестра требований кредиторов должника требования общества «Городская Механика» в общем размере 6 282 532 219 рублей 65 копеек. Постановлением Девятого арбитражного апелляционного суда от 13.05.2022, оставленным без изменения постановлением Арбитражного суда Московского округа от 13.09.2022, определение суда первой инстанции оставлено без изменения. В кассационной жалобе, поданной в Верховный Суд Российской Федерации, заявитель просит отменить указанные судебные акты в части, в отменённой части обособленный спор направить на новое рассмотрение в суд первой инстанции. Исходя из доводов кассационной жалобы, заявитель не согласен с включением в реестр требований кредиторов должника задолженности общества «Городская Механика». Жалоба изучена в пределах заявленных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оспариваемой части, суды, руководствуясь статьями 71, 100, 142 Федерального закона от 26.10.2002 № 127-ФЗ «О несостоятельности (банкротстве)», установив основание возникновения задолженности, признав наличие у цессионария права требования, отсутствие доказательств предоставления должнику компенсационного финансирования, пришли к выводу об обоснованности заявленного требования и необходимости включения его в реестр требований кредиторов третьей очереди в заявленном размере.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по доводам кассационной жалобы не установлено. Несогласие заявителя с выводами судебных инстанций,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3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«БМ–Банк»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