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целом доводы кассационной жалобы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«Амадеус Люкс»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"АМАДЕУС ЛЮКС" (подробнее) Ответчики: ГОСУДАРСТВЕННОЕ БЮДЖЕТНОЕ ОБЩЕОБРАЗОВАТЕЛЬНОЕ УЧРЕЖДЕНИЕ ГОРОДА МОСКВЫ "ШКОЛА №1449 ИМЕНИ ГЕРОЯ СОВЕТСКОГО СОЮЗА М.В. ВОДОПЬЯНОВА"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