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должником заявлено об исключении единственного жилья из конкурсной массы. Определением Арбитражного суда города Москвы от 08.04.2022, оставленным без изменения постановлением Девятого арбитражного апелляционного суда от 24.06.2022 и постановлением Арбитражного суда Московского округа от 06.09.2022, в удовлетворении заявления отказано. Арановский В.И.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статьей 213.25 Федерального закона от 26.10.2002 № 127-ФЗ «О несостоятельности (банкротстве)», статьями 329, 334 Гражданского кодекса Российской Федерации, статьей 50 Федерального закона от 16.07.1998 №102-ФЗ «Об ипотеке (залоге недвижимости)», разъяснениями, данными в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и исходили из отсутствия оснований для исключения из конкурсной массы жилого помещения, обремененного залогом.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