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23.03.2022 завершена процедура реализации имущества ФИО1 и должник освобожден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Постановлением Тринадцатого арбитражного апелляционного суда от 30.06.2022 определение суда первой инстанции изменено: должник освобожден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за исключением требования ФИО2, включенного в реестр требований кредиторов должника. Арбитражный суд Северо-Западного округа постановлением от 06.10.2022 постановление суда апелляционной инстанции оставил без изменения. ФИО1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апелляционной и кассационной инстанций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вышеназванным кредитором.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№17 по Санкт-Петербургу (подробнее) Иные лица: АССОЦИАЦИЯ "САМОРЕГУЛИРУЕМАЯ ОРГАНИЗАЦИЯ АРБИТРАЖНЫХ УПРАВЛЯЮЩИХ ЦЕНТРАЛЬНОГО ФЕДЕРАЛЬНОГО ОКРУГА" (подробнее) ООО "Микрофинансовая компания "КарМани" (подробнее) Отдел регистрации актов гражданского состояния о рождении - дворец Малютка (подробнее) ПАО "Сбербанк России" (подробнее) ПАО "Совкомбанк"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