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обороны Российской Федерации (далее - истец) обратилось в Арбитражный суд города Москвы с иском к предприятию о взыскании 912 273 975 рублей неустойки за нарушение условий государственного контракта от 29.07.2011 № 20/11. Решением Арбитражного суда города Москвы от 04.02.2022 исковое требование удовлетворено частично, с ответчика в пользу истца взыскана неустойка в размере 30 142 063 рублей 10 копеек. В удовлетворении иска в остальной части отказано. В доход федерального бюджета с ответчика взыскана государственная пошлина в размере 173 710 рублей. Постановлением Девятого арбитражного апелляционного суда от 14.04.2022 решение суда первой инстанции изменено в части взыскания государственной пошлины; с ответчика в доход федерального бюджета взыскано 6 608 рублей государственной пошлины. В остальной части решение суда оставлено без изменения. Постановлением Арбитражного суда Московского округа от 09.08.2022 решение суда первой инстанции и постановление суда апелляционной инстанции оставлены без изменения. В кассационной жалобе предприятие, ссылаясь на существенное нарушение судами норм права, ставит вопрос об отмене принятых по делу судебных актов в части взыскания неустойки в размере 30 142 063 рублей 10 копеек и направить дело в указанной части на новое рассмотрение. При изучении доводов кассационной жалобы и принятых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Рассматривая спор, суд первой инстанции, руководствуясь положениями статей 10 , 196 , 200 , 309 , 310 , 330 , 716 , 719 , 769 , 773 , 777 Гражданского кодекса Российской Федерации, установив несвоевременное исполнение предприятием своих обязательств по контракту, пришел к выводу о наличии оснований для взыскания с предприятия требуемой истцом неустойки. Вместе с тем, учитывая неправомерность расчета неустойки от всей суммы контракта, предусматривающего поэтапное выполнение работ, а также применив по заявлению ответчика срок исковой давности и положения статьи 333 Гражданского кодекса Российской Федерации, суд посчитал необходимым снизить заявленный к взысканию размер неустойки до 30 142 063 рублей 10 копеек. Суды апелляционной инстанции и округа поддержали выводы суда первой инстанции, отметив значительное снижение размера неустойки. Доводы предприятия, изложенные в кассационной жалобе, являлись предметом полной и всесторонней проверки судов, получили надлежащую правовую оценку и с учетом изученных материалов истребованного дела не подтверждают наличие оснований для передачи жалобы на рассмотрение Судебной коллегии по экономическим спорам Верховного Суда Российской Федерации. Существенных нарушений норм материального и процессуального права, которые повлияли на исход дела и без устранения которых невозможно восстановить нарушенное право заявителя, судами не допущено.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унитарному предприятию «18 Центральный научно-исследовательский институт» Министерства обороны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М.К.Антонова Суд: Верховный Суд РФ (подробнее) Истцы: Министерство обороны Российской Федерации (подробнее) Ответчики: ФГУП "18 Центральный научно-исследовательский институт" Министерства обороны Российской Федерации (подробнее) Иные лица: АО "НАУЧНО-ИССЛЕДОВАТЕЛЬСКИЙ ИНСТИТУТ ТОЧНЫХ ПРИБОРОВ" (подробнее) ЗАО "Завод Юпитер" (подробнее) ФГУП "Государственный научно-исследовательский институт прикладных проблем" (подробнее) ФГУП "НАУЧНО-ИССЛЕДОВАТЕЛЬСКИЙ ИНСТИТУТ "ПОЛЮС" ИМ. М.Ф. СТЕЛЬМАХА (подробнее) ФГУП "ЦЕНТРАЛЬНЫЙ НАУЧНО-ИССЛЕДОВАТЕЛЬСКИЙ ИНСТИТУТ ХИМИИ И МЕХАНИКИ" (подробнее) Судебная практика по: Злоупотребление правом Судебная практика по применению нормы ст. 10 ГК РФ Исковая давность, по срокам давности Судебная практика по применению норм ст. 200, 202, 204, 205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