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права, просит отменить указанные судебные акты в части отказа в удовлетворении первоначального иска и удовлетворить первоначальный иск в полном объеме.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Разрешая спор в обжалуемой части, суды первой и апелляционной инстанций, поддержанные судом округа, исследовав и оценив представленные 2 в материалы дела доказательства по правилам статьи 71 АПК РФ, руководствуясь статьями 407, 410 Гражданского кодекса Российской Федерации, исходили из того, что обязательство ответчика перед истцом по возврату аванса в спорной сумме прекращено зачетом встречных однородных требований.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специализированный застройщик «Барнаулкапстрой»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