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Признавая решение антимонопольного органа законным, суды трех инстанций, руководствуясь Федеральными законами от 05.04.2013 № 44-ФЗ «О контрактной системе в сфере закупок товаров, работ, услуг для обеспечения государственных и муниципальных нужд» и от 25.06.2002 № 73-ФЗ «Об объектах культурного наследия (памятниках истории и культуры) народов Российской Федерации»,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исходили из необходимости установления заказчиком дополнительных требований при проведении электронного аукциона на выполнение работ по сохранению объекта культурного наследия. Изложенные в кассационной жалобе доводы основаны на ином толковании положений закона, не означают допущенной при рассмотрении дела судебной ошибки и не могут служить основанием для отмены судебных актов в кассационном порядке. Поскольку в передаче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«Центр по обеспечению деятельности казначейства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ФЕДЕРАЛЬНОЕ КАЗЕННОЕ УЧРЕЖДЕНИЕ "ЦЕНТР ПО ОБЕСПЕЧЕНИЮ ДЕЯТЕЛЬНОСТИ КАЗНАЧЕЙСТВА РОССИИ" в лице МФ ФКУ"ЦОКР" г. Владимир (подробнее) ФКУ "ЦОКР" в г. Владимире (подробнее) Ответчики: Управление Федеральной антимонопольной службы по Владимирской области (подробнее) УФАС по Владимирской области (подробнее) Иные лица: АС ВВО (подробнее) ООО "Инженерная геология исторических территорий"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