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26.05.2020, оставленным без изменения постановлением Девятого арбитражного апелляционного суда от 28.07.2020, в выдаче дубликата исполнительного листа отказано. Постановлением Арбитражного суда Московского округа от 25.09.2020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процессуального права. При рассмотрении доводов жалобы и принятых по делу судебных актов оснований для удовлетворения жалобы не установлено. Отказывая в удовлетворении заявления о выдаче дубликата исполнительного листа, суды руководствовались статьями 321 , 323 Арбитражного процессуального кодекса Российской Федерации, Федерального закона от 02.10.2007 № 229-ФЗ «Об исполнительном производстве», признав недоказанным наличие оснований для его выдачи, с учетом непредставления заявителем доказательств, подтверждающих факт окончательной утраты исполнительного листа. Несогласие общества с оценкой судами доказательств, направленное на установление иных фактических обстоятельств, связанных с установлением факта утраты исполнительного листа, а также иная оценка реализации права на получение дубликата не создают оснований для пересмотра судебных актов Верховным Судом Российской Федерации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"АРС-Сервис" (подробнее) ООО "СпецРесурс" (подробнее) Ответчики: Министерство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