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«Трансойл» обратилось в Арбитражный суд города Москвы с иском о взыскании с ОАО «Российские железные дороги» 51 200 441 рубля 29 копеек убытков за повреждение вагонов. Решением Арбитражного суда города Москвы от 24.02.2022 иск удовлетворен. Постановлением Девятого арбитражного апелляционного суда от 12.05.2022 решение суда первой инстанции оставлено без изменения. Арбитражный суд Московского округа постановлением от 13.09.2022 указанные судебные акты оставил без изменения. ОАО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ООО «Трансойл»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 факт возникновения технических неисправностей вагонов-цистерн в зоне ответственности перевозчика, руководствуясь положениями статей 15 , 393 , 1064 Гражданского кодекса Российской Федерации, суды пришли к выводу об обоснованности иска, признав срок исковой давности не пропущенным.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"РЖД" (подробнее) ООО "ТРАНСОЙЛ" (подробнее) Ответчики: ОАО "Российские железные дороги"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