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сделками трёх банковских операций от 05.07.2019 по переводу со счетов общества с ограниченной ответственностью «ДАТАПРО» денежных средств в размере 262 520,80 евро и 1 767 187 рублей. Просил о применении последствий недействительности оспариваемых сделок. Определением Арбитражного суда города Москвы от 28.12.2021, оставленным без изменения постановлениями Девятого арбитражного апелляционного суда от 18.03.2022 и Арбитражного суда Московского округа от 05.07.2022,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заявления. 27.10.2022 материалы дела № А40-159799/2020 были истребованы в Арбитражном суде города Москвы. Основаниями для отмены или изменения Судебной коллегией Верховного Суда Российской Федерации судебных актов в порядке кассационного 2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(статья 291.11 Арбитражного процессуального кодекса Российской Федерации). Рассмотрев доводы кассационной жалобы, изучив судебные акты и материалы дела, судья полагает, что они не свидетельствуют о наличии оснований, предусмотренных статьей 291.11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Жилищно-кредитный коммерческий банк «Жилкредит» государственной корпорации «Агентство по страхованию вкладов»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