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«ГПН-Логистика» обратилось в Арбитражный суд города Москвы с иском о взыскании с АО «МГАО Промжелдортранс» 21 102 233 рублей 56 копеек неосновательного обогащения и 2 213 939 рублей 48 копеек процентов за пользование чужими денежными средствами. Решением Арбитражного суда города Москвы от 28.03.2022, оставленным без изменения постановлением Девятого арбитражного апелляционного суда от 17.06.2022 и постановлением Арбитражного суда Московского округа от 30.08.2022, иск удовлетворен в части взыскания 21 102 233 рублей 56 копеек неосновательного обогащения и 1 086 909 рублей 56 копеек процентов за пользование чужими денежными средствами, с начислением процентов по день фактического исполнения обязательства; в удовлетворении иска в остальной части отказано. ООО «ГПН-Логистика»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395 , 1102 Гражданского кодекса Российской Федерации, суды пришли к выводам о доказанности наличия на стороне ответчика неосновательного обогащения в виде денежных средств, излишне оплаченных ему за выполненные работы/оказанные услуги, и наличии оснований для взыскания процентов за пользование чужими денежными средствами, определив период взыскания с учетом положений статьи 1107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этим в удовлетворении ходатайства о направлении в Конституционный Суд Российской Федерации запроса о проверке конституционности положений части 2 статьи 1107 Гражданского кодекса Российской Федерации следует отказать.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"Газпромнефть-Логистика" (подробнее) Ответчики: АО "МГАО ПРОМЖЕЛДОРТРАНС"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