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Карачаево-Черкесской Республики от 14.06.2022, оставленным без изменения постановлением Шестнадцатого арбитражного апелляционного суда от 12.08.2022 и постановлением Арбитражного суда Северо-Кавказского округа от 05.10.2022, в удовлетворении заявления отказано. В кассационной жалобе ФИО1 просит об отмене судебных актов, ссылаясь на игнорирование судами действий должника по приданию квартире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спорная квартира является единственным жильем, пригодным для проживания несовершеннолетних детей должника и его собственного гипотетического проживания при неустановлении иного принадлежащего должнику на праве собственности жилого помещения и местонахождения должника, обоснованно применили к ней исполнительский иммунитет.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"Россельхозбанк" (подробнее) АО "Черкесские городские электрические сети" (подробнее) ИФНС РОССИИ №25 ПО Г. МОСКВЕ (подробнее) ООО "СтройГрад" (подробнее) ООО "Стройград" г. Владикавказлице к/у Жеглявского П.В. (подробнее) ПАО "Московский Индустриальный банк" (подробнее) Управление ФНС по КЧР (подробнее) Иные лица: АНО "Независимая судебно-экспертная лаборатория" (подробнее) АО "Новый регистратор" (подробнее) Союз "Саморегулируемая организация арбитражных управляющих Северо-Запада"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