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Хайруллина М.К. в Арбитражный суд города Москвы обратился кредитор – ООО «Внешпромбанк» в лице конкурсного управляющего – государственной корпорации «Агентство по страхованию вкладов» с заявлением о включении в реестр требований кредиторов должника задолженности в размере 213 511 651 рубля 08 копеек, обеспеченной залогом недвижимого имущества должника (жилого дома и земельных участков). Определением Арбитражного суда города Москвы от 11.02.2022, оставленным без изменения постановлением Девятого арбитражного апелляционного суда от 15.06.2022 и постановлением Арбитражного суда Московского округа от 06.09.2022, заявление удовлетворено. Хайруллин М.К.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статьями 71, 100, 213.25 Федерального закона от 26.10.2002 № 127-ФЗ «О несостоятельности (банкротстве)», статьей 353 Гражданского кодекса Российской Федерации, пунктом 21 постановления Пленума Высшего Арбитражного Суда Российской Федерации от 23.07.2009 № 58 «О некоторых вопросах, связанных с удовлетворением требований залогодержателя при банкротстве залогодателя» и исходили из обоснованности требования, заявленного банком к наследнику залогодателя.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