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кассационных жалобах, поданных в Верховный Суд Российской Федерации, заявители, ссылаясь на нарушение судами норм материального права, просят отменить указанные судебные акты и направить дело на новое рассмотрение в суд первой инстанции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по правилам статьи 71 Арбитражного процессуального кодекса Российской Федерации представленные в материалы 2 дела доказательства, руководствуясь статьями 182, 183, 408, 410, 711, 746, 720, 753 Гражданского кодекса Российской Федерации, суды первой и апелляционной инстанций, с которыми впоследствии согласился суд округа, отказали в удовлетворении иска, исходя из установленных обстоятельств, свидетельствующих об исполнении ответчиком обязательств по оплате истцу спорной задолженности.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заявителей. Доводы кассационных жалоб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«Энергострой» и Стахова Николая Александровича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