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27.06.2022, оставленным без изменения постановлением того же суда от 16.09.2022,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