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16.03.2022, оставленным без изменения постановлением Девятого арбитражного апелляционного суда от 30.05.2022 и постановлением Арбитражного суда Московского округа от 15.08.2022, в удовлетворении заявления отказано. В кассационной жалобе Дворяшин В.И. просит об отмене судебных актов, указывая на достаточность признания должника несостоятельным и введения процедуры реализации его имущества для применения требуемой меры.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необоснование применения требуемой меры.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Дворяшину Владимиру Ивановичу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