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Карачаево-Черкесской Республики от 06.05.2022, оставленным без изменения постановлением Шестнадцатого арбитражного апелляционного суда от 20.07.2022, требование банка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реестр. Постановлением Арбитражного суда Северо-Кавказского округа от 12.09.2022 решение и постановление апелляционного суда отменены, спор направлен на новое рассмотрение в суд первой инстанции. В кассационной жалобе управляющий просит отменить постановление окружного суда, ссылаясь на неправильное применение норм права.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нижестоящих инстанций окружной суд установил отсутствие оценки возражениям банка о ненадлежащем извещении его о введении в отношении должника процедур банкротства и неустановление обстоятельств, необходимых для правильного разрешения спора, поэтому направил дело на новое рассмотрение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"Московский Индустриальный банк" (подробнее) ПАО "Московский индустриальный банк" (подробнее) Иные лица: АССОЦИАЦИЯ АРБИТРАЖНЫХ УПРАВЛЯЮЩИХ "ЦЕНТР ФИНАНСОВОГО ОЗДОРОВЛЕНИЯ ПРЕДПРИЯТИЙ АГРОПРОМЫШЛЕННОГО КОМПЛЕКСА" (подробнее) Управление Федеральной налоговой службы по Карачаево-Черкесской Республике (подробнее) Управление Федеральной службы государственной регистрации, кадастра и картографии по Карачаево-Черкесской Республике (подробнее) ф/у Борлаков А.А.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