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разрешении разногласий с кредитором по вопросу включения имущества в конкурсную массу, в котором управляющий просил признать не подлежащим включению в конкурсную массу должника жилого дома № 84/1 в с. Иславское, СП Успенское Одинцовского района Московской области (кадастровый номер: 50:20:0041741:2086). Определением суда от 16.12.2019, оставленным без изменения постановлениями апелляционного и окружного судов от 10.09.2020 и от 24.03.2021, заявление удовлетворено: спорный жилой дом признан не подлежащим включению в конкурсную массу. В кассационной жалобе кредитор просил судебные акты отменить, ссылаясь на нарушение судами норм права. По результатам изучения материалов обособленного спора,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213.25, 213.26 Федерального закона от 26.10.2002 № 127-ФЗ «О несостоятельности (банкротстве)», статьей 46 Семейного кодекса Российской Федерации, статьей 446 Гражданского процессуального кодекса Российской Федерации и исходили из того, что спорный жилой дом является единственным пригодным жилым помещением для должника и его семьи.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Каких-либо доводов, подтверждающих, что обращение взыскания на данный жилой дом (с учетом необходимости предоставления должнику и его семье замещающего жилья), приведет к существенному экономическому эффекту и позволит значительно удовлетворить требования кредиторов в кассационной жалобе не указано. Не представлялись такие доводы и доказательства и в судах нижестоящих инстанций.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АО "ЮниКредит Банк" (подробнее) ЗАО "Объединенное Кредитное Бюро" (подробнее) ИП Лебедев А. В. (подробнее) МИФНС №22 по МО (подробнее) ОА " Райффайзенбанк" (подробнее) ООО "Хоум Кредит энд Финанс Банк" (подробнее) САУ "СО "Северная столица" (подробнее) Управление Федеральной службы государственной регистрации, кадастра и картографии по Московской области (подробнее) Иные лица: АНО "Бюро судебных экспертиз" (подробнее) Межрайонная инспекция Федеральной налоговой службы №17 по Московской области (подробнее) ООО "НПФ "ТРАНСМЕДТЕХ" (подробнее) Р.А.КУРОЧКИН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