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доказательства, руководствуясь положениями законодательства, регулирующими спорные 2 правоотношения, суды удовлетворили исковые требования, исходя из их обоснованности и документальной подтвержденности.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«Ньютех Велл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