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инстанции и округа норм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АПК РФ, руководствуясь статьями 702, 720, 753 Гражданского кодекса Российской Федерации (далее – ГК РФ), условиями спорного договора, суд апелляционной инстанции, с которым впоследствии 2 согласился суд округа, частично удовлетворил исковые требования, исходя из обоснованного удержания ответчиком из причитающейся истцу оплаты неустойки за просрочку выполнения последним работ, уменьшенной по правилам статьи 333 ГК РФ.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существенные нарушения норм материального права и (или) норм процессуального права, которые повлияли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